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46" w:rsidRDefault="004D2546" w:rsidP="004D2546">
      <w:pPr>
        <w:widowControl/>
        <w:tabs>
          <w:tab w:val="left" w:pos="142"/>
        </w:tabs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реквизитов и источников официального опубликования).</w:t>
      </w:r>
    </w:p>
    <w:p w:rsidR="004D2546" w:rsidRDefault="004D2546" w:rsidP="004D2546">
      <w:pPr>
        <w:widowControl/>
        <w:tabs>
          <w:tab w:val="left" w:pos="142"/>
        </w:tabs>
        <w:ind w:firstLine="709"/>
        <w:jc w:val="center"/>
        <w:rPr>
          <w:b/>
          <w:bCs/>
          <w:sz w:val="28"/>
          <w:szCs w:val="28"/>
        </w:rPr>
      </w:pPr>
    </w:p>
    <w:p w:rsidR="004D2546" w:rsidRDefault="004D2546" w:rsidP="004D2546">
      <w:pPr>
        <w:widowControl/>
        <w:tabs>
          <w:tab w:val="left" w:pos="142"/>
        </w:tabs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- Конституция Российской Федерации;</w:t>
      </w:r>
    </w:p>
    <w:p w:rsidR="004D2546" w:rsidRDefault="004D2546" w:rsidP="004D2546">
      <w:pPr>
        <w:pStyle w:val="2"/>
        <w:tabs>
          <w:tab w:val="left" w:pos="142"/>
        </w:tabs>
        <w:spacing w:after="0" w:line="240" w:lineRule="auto"/>
        <w:ind w:left="0"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- Градостроительный кодекс Российской Федерации;</w:t>
      </w:r>
    </w:p>
    <w:p w:rsidR="004D2546" w:rsidRDefault="004D2546" w:rsidP="004D2546">
      <w:pPr>
        <w:widowControl/>
        <w:tabs>
          <w:tab w:val="left" w:pos="142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Гражданский </w:t>
      </w:r>
      <w:hyperlink r:id="rId5" w:history="1">
        <w:r>
          <w:rPr>
            <w:rStyle w:val="a6"/>
            <w:bCs/>
            <w:sz w:val="28"/>
            <w:szCs w:val="28"/>
          </w:rPr>
          <w:t>кодекс</w:t>
        </w:r>
      </w:hyperlink>
      <w:r>
        <w:rPr>
          <w:bCs/>
          <w:sz w:val="28"/>
          <w:szCs w:val="28"/>
        </w:rPr>
        <w:t xml:space="preserve"> Российской Федерации;</w:t>
      </w:r>
    </w:p>
    <w:p w:rsidR="004D2546" w:rsidRDefault="004D2546" w:rsidP="004D2546">
      <w:pPr>
        <w:widowControl/>
        <w:tabs>
          <w:tab w:val="left" w:pos="142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Земельный </w:t>
      </w:r>
      <w:hyperlink r:id="rId6" w:history="1">
        <w:r>
          <w:rPr>
            <w:rStyle w:val="a6"/>
            <w:bCs/>
            <w:sz w:val="28"/>
            <w:szCs w:val="28"/>
          </w:rPr>
          <w:t>кодекс</w:t>
        </w:r>
      </w:hyperlink>
      <w:r>
        <w:rPr>
          <w:bCs/>
          <w:sz w:val="28"/>
          <w:szCs w:val="28"/>
        </w:rPr>
        <w:t xml:space="preserve"> Российской Федерации;</w:t>
      </w:r>
    </w:p>
    <w:p w:rsidR="004D2546" w:rsidRDefault="004D2546" w:rsidP="004D2546">
      <w:pPr>
        <w:widowControl/>
        <w:tabs>
          <w:tab w:val="left" w:pos="142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Жилищный </w:t>
      </w:r>
      <w:hyperlink r:id="rId7" w:history="1">
        <w:r>
          <w:rPr>
            <w:rStyle w:val="a6"/>
            <w:bCs/>
            <w:sz w:val="28"/>
            <w:szCs w:val="28"/>
          </w:rPr>
          <w:t>кодекс</w:t>
        </w:r>
      </w:hyperlink>
      <w:r>
        <w:rPr>
          <w:bCs/>
          <w:sz w:val="28"/>
          <w:szCs w:val="28"/>
        </w:rPr>
        <w:t xml:space="preserve"> Российской Федерации;</w:t>
      </w:r>
    </w:p>
    <w:p w:rsidR="004D2546" w:rsidRDefault="004D2546" w:rsidP="004D2546">
      <w:pPr>
        <w:pStyle w:val="2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Федеральный закон от 27.07.2010 №210-ФЗ «Об организации предоставления государственных и муниципальных услуг»;</w:t>
      </w:r>
    </w:p>
    <w:p w:rsidR="004D2546" w:rsidRDefault="004D2546" w:rsidP="004D254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- Федеральный закон от 02.05.2006 №59-ФЗ «О порядке рассмотрения обращений граждан Российской Федерации»</w:t>
      </w:r>
      <w:r>
        <w:rPr>
          <w:sz w:val="28"/>
          <w:szCs w:val="28"/>
        </w:rPr>
        <w:t>;</w:t>
      </w:r>
    </w:p>
    <w:p w:rsidR="004D2546" w:rsidRDefault="004D2546" w:rsidP="004D2546">
      <w:pPr>
        <w:tabs>
          <w:tab w:val="left" w:pos="142"/>
        </w:tabs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- Федеральный закон от 27.07.2006 №152-ФЗ «О персональных данных»;</w:t>
      </w:r>
    </w:p>
    <w:p w:rsidR="004D2546" w:rsidRDefault="004D2546" w:rsidP="004D2546">
      <w:pPr>
        <w:widowControl/>
        <w:tabs>
          <w:tab w:val="left" w:pos="142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Федеральный </w:t>
      </w:r>
      <w:hyperlink r:id="rId8" w:history="1">
        <w:r>
          <w:rPr>
            <w:rStyle w:val="a6"/>
            <w:bCs/>
            <w:sz w:val="28"/>
            <w:szCs w:val="28"/>
          </w:rPr>
          <w:t>закон</w:t>
        </w:r>
      </w:hyperlink>
      <w:r>
        <w:rPr>
          <w:bCs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Федерации»;</w:t>
      </w:r>
    </w:p>
    <w:p w:rsidR="004D2546" w:rsidRDefault="004D2546" w:rsidP="004D2546">
      <w:pPr>
        <w:widowControl/>
        <w:tabs>
          <w:tab w:val="left" w:pos="142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Федеральный </w:t>
      </w:r>
      <w:hyperlink r:id="rId9" w:history="1">
        <w:r>
          <w:rPr>
            <w:rStyle w:val="a6"/>
            <w:bCs/>
            <w:sz w:val="28"/>
            <w:szCs w:val="28"/>
          </w:rPr>
          <w:t>закон</w:t>
        </w:r>
      </w:hyperlink>
      <w:r>
        <w:rPr>
          <w:bCs/>
          <w:sz w:val="28"/>
          <w:szCs w:val="28"/>
        </w:rPr>
        <w:t xml:space="preserve"> от 09.02.2009 №8-ФЗ «Об обеспечении доступа                          к информации о деятельности государственных органов и органов местного самоуправления»;</w:t>
      </w:r>
    </w:p>
    <w:p w:rsidR="004D2546" w:rsidRDefault="004D2546" w:rsidP="004D254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Федеральный </w:t>
      </w:r>
      <w:hyperlink r:id="rId10" w:history="1">
        <w:r>
          <w:rPr>
            <w:rStyle w:val="a6"/>
            <w:sz w:val="28"/>
            <w:szCs w:val="28"/>
          </w:rPr>
          <w:t>закон</w:t>
        </w:r>
      </w:hyperlink>
      <w:r>
        <w:rPr>
          <w:sz w:val="28"/>
          <w:szCs w:val="28"/>
        </w:rPr>
        <w:t xml:space="preserve"> от 17.11.1995 №169-ФЗ «Об архитектурной деятельности в Российской Федерации»;</w:t>
      </w:r>
    </w:p>
    <w:p w:rsidR="004D2546" w:rsidRDefault="004D2546" w:rsidP="004D254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Закон РФ от 24.11.1995 №181-ФЗ «О социальной защите инвалидов в Российской Федерации»;</w:t>
      </w:r>
    </w:p>
    <w:p w:rsidR="004D2546" w:rsidRDefault="004D2546" w:rsidP="004D254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Правительства Российской Федерации от 16.02.2008 №87   «</w:t>
      </w:r>
      <w:r>
        <w:rPr>
          <w:spacing w:val="2"/>
          <w:sz w:val="28"/>
          <w:szCs w:val="28"/>
        </w:rPr>
        <w:t>О составе разделов проектной документации и требованиях к их содержанию»</w:t>
      </w:r>
      <w:r>
        <w:rPr>
          <w:sz w:val="28"/>
          <w:szCs w:val="28"/>
        </w:rPr>
        <w:t>;</w:t>
      </w:r>
    </w:p>
    <w:p w:rsidR="004D2546" w:rsidRDefault="004D2546" w:rsidP="004D2546">
      <w:pPr>
        <w:widowControl/>
        <w:tabs>
          <w:tab w:val="left" w:pos="142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hyperlink r:id="rId11" w:history="1">
        <w:r>
          <w:rPr>
            <w:rStyle w:val="a6"/>
            <w:bCs/>
            <w:sz w:val="28"/>
            <w:szCs w:val="28"/>
          </w:rPr>
          <w:t>Устав</w:t>
        </w:r>
      </w:hyperlink>
      <w:r>
        <w:rPr>
          <w:bCs/>
          <w:sz w:val="28"/>
          <w:szCs w:val="28"/>
        </w:rPr>
        <w:t xml:space="preserve"> города Брянска, принят Брянским городским Советом народных депутатов 30.11.2005;</w:t>
      </w:r>
    </w:p>
    <w:p w:rsidR="004D2546" w:rsidRDefault="004D2546" w:rsidP="004D2546">
      <w:pPr>
        <w:tabs>
          <w:tab w:val="left" w:pos="142"/>
        </w:tabs>
        <w:ind w:firstLine="709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>- Решение Брянского городского Совета народных депутатов                                       от 28.06.2006 №460 «</w:t>
      </w:r>
      <w:r>
        <w:rPr>
          <w:spacing w:val="2"/>
          <w:sz w:val="28"/>
          <w:szCs w:val="28"/>
        </w:rPr>
        <w:t>О принятии Правил благоустройства, обеспечения чистоты  и порядка на территории города Брянска»;</w:t>
      </w:r>
    </w:p>
    <w:p w:rsidR="004D2546" w:rsidRDefault="004D2546" w:rsidP="004D25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2" w:history="1">
        <w:r>
          <w:rPr>
            <w:rStyle w:val="a6"/>
            <w:sz w:val="28"/>
            <w:szCs w:val="28"/>
          </w:rPr>
          <w:t>Постановление</w:t>
        </w:r>
      </w:hyperlink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 xml:space="preserve"> Брянской городской администрации  от </w:t>
      </w:r>
      <w:r>
        <w:rPr>
          <w:sz w:val="28"/>
          <w:szCs w:val="28"/>
          <w:u w:val="single"/>
        </w:rPr>
        <w:t>09.12.2019 №4013-п «</w:t>
      </w:r>
      <w:r>
        <w:rPr>
          <w:sz w:val="28"/>
          <w:szCs w:val="28"/>
        </w:rPr>
        <w:t xml:space="preserve">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 </w:t>
      </w:r>
    </w:p>
    <w:p w:rsidR="004D2546" w:rsidRDefault="004D2546" w:rsidP="004D254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3" w:history="1">
        <w:r>
          <w:rPr>
            <w:rStyle w:val="a6"/>
            <w:color w:val="000000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Брянской городской администрации от 15.01.2009 N 42-п "Об утверждении порядка технического сопровождения производства земляных работ на территории города Брянска" </w:t>
      </w:r>
    </w:p>
    <w:p w:rsidR="004D2546" w:rsidRDefault="004D2546" w:rsidP="004D2546">
      <w:pPr>
        <w:widowControl/>
        <w:tabs>
          <w:tab w:val="left" w:pos="142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 настоящий Административный регламент;</w:t>
      </w:r>
    </w:p>
    <w:p w:rsidR="004D2546" w:rsidRDefault="004D2546" w:rsidP="004D2546">
      <w:pPr>
        <w:widowControl/>
        <w:tabs>
          <w:tab w:val="left" w:pos="142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иные законы и нормативные правовые акты Российской Федерации, Брянской области, муниципальные правовые акты города Брянска.</w:t>
      </w:r>
    </w:p>
    <w:p w:rsidR="004D2546" w:rsidRDefault="004D2546" w:rsidP="004D2546">
      <w:pPr>
        <w:ind w:firstLine="709"/>
        <w:jc w:val="both"/>
        <w:rPr>
          <w:sz w:val="28"/>
        </w:rPr>
      </w:pPr>
    </w:p>
    <w:p w:rsidR="00235829" w:rsidRDefault="00235829">
      <w:bookmarkStart w:id="0" w:name="_GoBack"/>
      <w:bookmarkEnd w:id="0"/>
    </w:p>
    <w:sectPr w:rsidR="00235829" w:rsidSect="0059740D">
      <w:headerReference w:type="even" r:id="rId14"/>
      <w:headerReference w:type="default" r:id="rId15"/>
      <w:endnotePr>
        <w:numFmt w:val="decimal"/>
      </w:endnotePr>
      <w:pgSz w:w="11907" w:h="16840"/>
      <w:pgMar w:top="1134" w:right="850" w:bottom="993" w:left="1701" w:header="420" w:footer="454" w:gutter="0"/>
      <w:pgNumType w:start="1"/>
      <w:cols w:space="2696" w:equalWidth="0">
        <w:col w:w="9072"/>
      </w:cols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23E" w:rsidRDefault="004D2546" w:rsidP="000307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023E" w:rsidRDefault="004D254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23E" w:rsidRDefault="004D2546" w:rsidP="00F247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:rsidR="0057023E" w:rsidRPr="0009407D" w:rsidRDefault="004D2546" w:rsidP="000307DB">
    <w:pPr>
      <w:pStyle w:val="a3"/>
      <w:tabs>
        <w:tab w:val="clear" w:pos="4153"/>
        <w:tab w:val="center" w:pos="5000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546"/>
    <w:rsid w:val="00235829"/>
    <w:rsid w:val="004D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4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2546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D254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page number"/>
    <w:uiPriority w:val="99"/>
    <w:rsid w:val="004D2546"/>
    <w:rPr>
      <w:rFonts w:cs="Times New Roman"/>
      <w:sz w:val="20"/>
    </w:rPr>
  </w:style>
  <w:style w:type="character" w:styleId="a6">
    <w:name w:val="Hyperlink"/>
    <w:uiPriority w:val="99"/>
    <w:rsid w:val="004D2546"/>
    <w:rPr>
      <w:rFonts w:cs="Times New Roman"/>
      <w:color w:val="648BCB"/>
      <w:u w:val="single"/>
    </w:rPr>
  </w:style>
  <w:style w:type="paragraph" w:styleId="2">
    <w:name w:val="Body Text Indent 2"/>
    <w:basedOn w:val="a"/>
    <w:link w:val="20"/>
    <w:uiPriority w:val="99"/>
    <w:rsid w:val="004D2546"/>
    <w:pPr>
      <w:suppressAutoHyphens/>
      <w:autoSpaceDN/>
      <w:adjustRightInd/>
      <w:spacing w:after="120" w:line="480" w:lineRule="auto"/>
      <w:ind w:left="283"/>
    </w:pPr>
    <w:rPr>
      <w:lang w:val="x-none" w:eastAsia="zh-C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D2546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54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2546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D254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page number"/>
    <w:uiPriority w:val="99"/>
    <w:rsid w:val="004D2546"/>
    <w:rPr>
      <w:rFonts w:cs="Times New Roman"/>
      <w:sz w:val="20"/>
    </w:rPr>
  </w:style>
  <w:style w:type="character" w:styleId="a6">
    <w:name w:val="Hyperlink"/>
    <w:uiPriority w:val="99"/>
    <w:rsid w:val="004D2546"/>
    <w:rPr>
      <w:rFonts w:cs="Times New Roman"/>
      <w:color w:val="648BCB"/>
      <w:u w:val="single"/>
    </w:rPr>
  </w:style>
  <w:style w:type="paragraph" w:styleId="2">
    <w:name w:val="Body Text Indent 2"/>
    <w:basedOn w:val="a"/>
    <w:link w:val="20"/>
    <w:uiPriority w:val="99"/>
    <w:rsid w:val="004D2546"/>
    <w:pPr>
      <w:suppressAutoHyphens/>
      <w:autoSpaceDN/>
      <w:adjustRightInd/>
      <w:spacing w:after="120" w:line="480" w:lineRule="auto"/>
      <w:ind w:left="283"/>
    </w:pPr>
    <w:rPr>
      <w:lang w:val="x-none" w:eastAsia="zh-C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D2546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25C7FC653EC1A023A93978530EEAE5FFFED5694697AD81C2AF1A254E86BFB869C0C80C40EE79DB07093DC78Bj1cDL" TargetMode="External"/><Relationship Id="rId13" Type="http://schemas.openxmlformats.org/officeDocument/2006/relationships/hyperlink" Target="consultantplus://offline/ref=F38898A995A9F025D29AF1EFE753FBCE4DCFAD7A51477FF2A5DED7859F6251841CC4B98EFEB7CE192DD44783D13CDC41197521A492D7751DA05EB0w7gE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25C7FC653EC1A023A93978530EEAE5FFFED66A4691AD81C2AF1A254E86BFB869C0C80C40EE79DB07093DC78Bj1cDL" TargetMode="External"/><Relationship Id="rId12" Type="http://schemas.openxmlformats.org/officeDocument/2006/relationships/hyperlink" Target="consultantplus://offline/ref=6E2C2029F14A672528538B749A6493C201E4FD632D4603CA77C72014999EBDEFB55E3E5D1F942A0B8E190B8B12D00FEF3D6F5AE6712C81A694F77BeEw0G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225C7FC653EC1A023A93978530EEAE5FFFFD0614991AD81C2AF1A254E86BFB869C0C80C40EE79DB07093DC78Bj1cDL" TargetMode="External"/><Relationship Id="rId11" Type="http://schemas.openxmlformats.org/officeDocument/2006/relationships/hyperlink" Target="consultantplus://offline/ref=8225C7FC653EC1A023A9396E5062B6E8FDF48E644497A0D49DF04178198FB5EF3C8FC95005B86ADA06093FC59416C40AjCc4L" TargetMode="External"/><Relationship Id="rId5" Type="http://schemas.openxmlformats.org/officeDocument/2006/relationships/hyperlink" Target="consultantplus://offline/ref=8225C7FC653EC1A023A93978530EEAE5FFFFD0614393AD81C2AF1A254E86BFB869C0C80C40EE79DB07093DC78Bj1cDL" TargetMode="Externa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B25A5649EA2122C6C2748F546C4A457711398E08DA387E0527145C9F96980AB7ED77E27753F62862C54EB162E9mEV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25C7FC653EC1A023A93978530EEAE5FEF7D66C4094AD81C2AF1A254E86BFB869C0C80C40EE79DB07093DC78Bj1cD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по информационной политике (Марианна)</dc:creator>
  <cp:lastModifiedBy>Комитет по информационной политике (Марианна)</cp:lastModifiedBy>
  <cp:revision>1</cp:revision>
  <dcterms:created xsi:type="dcterms:W3CDTF">2022-11-25T12:39:00Z</dcterms:created>
  <dcterms:modified xsi:type="dcterms:W3CDTF">2022-11-25T12:39:00Z</dcterms:modified>
</cp:coreProperties>
</file>